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6956</w:t>
        <w:t xml:space="preserve">.  </w:t>
      </w:r>
      <w:r>
        <w:rPr>
          <w:b/>
        </w:rPr>
        <w:t xml:space="preserve">Betterments allowed after 6 years' possession</w:t>
      </w:r>
    </w:p>
    <w:p>
      <w:pPr>
        <w:jc w:val="both"/>
        <w:spacing w:before="100" w:after="100"/>
        <w:ind w:start="360"/>
        <w:ind w:firstLine="360"/>
      </w:pPr>
      <w:r>
        <w:rPr/>
      </w:r>
      <w:r>
        <w:rPr/>
      </w:r>
      <w:r>
        <w:t xml:space="preserve">When the demanded premises have been in the actual possession of the defendant or of those under whom he claims for 6 successive years or more before commencement of the action, such defendant shall be allowed a compensation for the value of any buildings and improvements on the premises made by him or by those under him whom he claims, to be ascertained and adjusted as provided.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§6956. Betterments allowed after 6 years' possession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§6956. Betterments allowed after 6 years' possession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§6956. BETTERMENTS ALLOWED AFTER 6 YEARS' POSSESSION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