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6801</w:t>
        <w:t xml:space="preserve">.  </w:t>
      </w:r>
      <w:r>
        <w:rPr>
          <w:b/>
        </w:rPr>
        <w:t xml:space="preserve">Disseizor defined</w:t>
      </w:r>
    </w:p>
    <w:p>
      <w:pPr>
        <w:jc w:val="both"/>
        <w:spacing w:before="100" w:after="100"/>
        <w:ind w:start="360"/>
        <w:ind w:firstLine="360"/>
      </w:pPr>
      <w:r>
        <w:rPr/>
      </w:r>
      <w:r>
        <w:rPr/>
      </w:r>
      <w:r>
        <w:t xml:space="preserve">Every person alleged to be in possession of the premises demanded in such action, claiming any freehold therein, may be considered a disseizor for the purpose of trying the right.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§6801. Disseizor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§6801. Disseizor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§6801. DISSEIZOR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