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Effect of payment or tender</w:t>
      </w:r>
    </w:p>
    <w:p>
      <w:pPr>
        <w:jc w:val="both"/>
        <w:spacing w:before="100" w:after="100"/>
        <w:ind w:start="360"/>
        <w:ind w:firstLine="360"/>
      </w:pPr>
      <w:r>
        <w:rPr/>
      </w:r>
      <w:r>
        <w:rPr/>
      </w:r>
      <w:r>
        <w:t xml:space="preserve">When the amount due on a mortgage has been paid or tendered to the mortgagee, or person claiming under him, by the mortgagor or the person claiming under him, within the time so limited, he may bring a civil action for the redemption of the mortgaged premises, and compel the mortgagee, or person claiming under him, by a decree of the Superior Court, to release to him all his right and title therein; although such mortgagee or his assignee has never had actual possession of the premises for breach of the condition; or, without having made a tender before the commencement of the action, he may bring a civil action in the manner prescribed in </w:t>
      </w:r>
      <w:r>
        <w:t>section 6301</w:t>
      </w:r>
      <w:r>
        <w:t xml:space="preserve">, and the cause shall be tried in the same manner.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§6304. Effect of payment or tender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Effect of payment or tender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§6304. EFFECT OF PAYMENT OR TENDER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