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Form of complaint</w:t>
      </w:r>
    </w:p>
    <w:p>
      <w:pPr>
        <w:jc w:val="both"/>
        <w:spacing w:before="100" w:after="100"/>
        <w:ind w:start="360"/>
        <w:ind w:firstLine="360"/>
      </w:pPr>
      <w:r>
        <w:rPr/>
      </w:r>
      <w:r>
        <w:rPr/>
      </w:r>
      <w:r>
        <w:t xml:space="preserve">The mortgagee or person claiming under the mortgagee in an action for possession may declare on the mortgagee's own seizin, in a real action, without naming the mortgage or assignment. If it appears that the plaintiff is entitled to possession and that the condition had been broken when the action was commenced, the court shall, on motion of either party, award the conditional judgment, unless it appears that the tenant is not the mortgagor or a person claiming under the mortgagor, the plaintiff not consenting to such judgment. Unless such judgment is awarded, judgment is entered as at common law.</w:t>
      </w:r>
      <w:r>
        <w:t xml:space="preserve">  </w:t>
      </w:r>
      <w:r xmlns:wp="http://schemas.openxmlformats.org/drawingml/2010/wordprocessingDrawing" xmlns:w15="http://schemas.microsoft.com/office/word/2012/wordml">
        <w:rPr>
          <w:rFonts w:ascii="Arial" w:hAnsi="Arial" w:cs="Arial"/>
          <w:sz w:val="22"/>
          <w:szCs w:val="22"/>
        </w:rPr>
        <w:t xml:space="preserve">[PL 2007, c. 391,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§6251. Form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Form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§6251. FORM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