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Limitation of action on undischarged mortgage</w:t>
      </w:r>
    </w:p>
    <w:p>
      <w:pPr>
        <w:jc w:val="both"/>
        <w:spacing w:before="100" w:after="100"/>
        <w:ind w:start="360"/>
        <w:ind w:firstLine="360"/>
      </w:pPr>
      <w:r>
        <w:rPr/>
      </w:r>
      <w:r>
        <w:rPr/>
      </w:r>
      <w:r>
        <w:t xml:space="preserve">When the record title of real estate is encumbered by an undischarged mortgage, and the mortgagor and those having his estate in the premises have been in uninterrupted possession of such real estate for 20 years after the expiration of the time limited in the mortgage for the full performance of the conditions thereof, he or they, or any person having a freehold estate, vested or contingent in possession, reversion or remainder, in the land originally subject to the mortgage or in any undivided or any aliquot part thereof, or any interest therein which may eventually become a freehold estate, or any person who has conveyed such land or any such interest therein with covenants of title or warranty,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no evidence is offered of any payment within said 20 years or of any other act within said time, in recognition of its existence as a valid mortgage, the Superior Court upon hearing may enter a decree setting forth such facts and its findings in relation thereto, which decree shall within 30 days be recorded in the registry of deeds where the mortgage is recorded. Thereafter no action shall be brought by any person to enforce a title under said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Limitation of action on undischarged mortgage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Limitation of action on undischarged mortgage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§6104. LIMITATION OF ACTION ON UNDISCHARGED MORTGAGE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