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Property of debtor out of State or of uncertain value</w:t>
      </w:r>
    </w:p>
    <w:p>
      <w:pPr>
        <w:jc w:val="both"/>
        <w:spacing w:before="100" w:after="100"/>
        <w:ind w:start="360"/>
        <w:ind w:firstLine="360"/>
      </w:pPr>
      <w:r>
        <w:rPr/>
      </w:r>
      <w:r>
        <w:rPr/>
      </w:r>
      <w:r>
        <w:t xml:space="preserve">The court has jurisdiction of cases mentioned in </w:t>
      </w:r>
      <w:r>
        <w:t>section 6051, subsection 11</w:t>
      </w:r>
      <w:r>
        <w:t xml:space="preserve">, notwithstanding the fact that the property sought to be reached and applied is in the hands, possession or control of the debtor independently of any other person, or that it is not within the State, or that it is of uncertain value, provided the value can be ascertained by a sale or appraisal, or by any means within the ordinary procedure of the court, or that it cannot be reached and applied until a future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§6053. Property of debtor out of State or of uncertain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Property of debtor out of State or of uncertain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§6053. PROPERTY OF DEBTOR OUT OF STATE OR OF UNCERTAIN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