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§6028. Penalties for late payment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Penalties for late payment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§6028. PENALTIES FOR LATE PAYMENT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