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4851</w:t>
        <w:t xml:space="preserve">.  </w:t>
      </w:r>
      <w:r>
        <w:rPr>
          <w:b/>
        </w:rPr>
        <w:t xml:space="preserve">Notice of sale</w:t>
      </w:r>
    </w:p>
    <w:p>
      <w:pPr>
        <w:jc w:val="both"/>
        <w:spacing w:before="100" w:after="100"/>
        <w:ind w:start="360"/>
        <w:ind w:firstLine="360"/>
      </w:pPr>
      <w:r>
        <w:rPr/>
      </w:r>
      <w:r>
        <w:rPr/>
      </w:r>
      <w:r>
        <w:t xml:space="preserve">When judgment is recovered against a bridge, canal or other incorporated company with power to receive toll, its franchise may be sold on execution at public auction by giving notice of the time and place of sale by posting a notification in any town in which the treasurer, clerk or any officer thereof, if there are any officers, and if not, where any stockholder resides, for 30 days at least before the day of sale, and by causing an advertisement, naming the creditor thereon, to be inserted for 3 weeks successively in a newspaper of general circulation in a county where either of said officers, or, if the company is without officers, where any stockholder resides, the last publication being at least 4 days before the day of sale.</w:t>
      </w:r>
      <w:r>
        <w:t xml:space="preserve">  </w:t>
      </w:r>
      <w:r xmlns:wp="http://schemas.openxmlformats.org/drawingml/2010/wordprocessingDrawing" xmlns:w15="http://schemas.microsoft.com/office/word/2012/wordml">
        <w:rPr>
          <w:rFonts w:ascii="Arial" w:hAnsi="Arial" w:cs="Arial"/>
          <w:sz w:val="22"/>
          <w:szCs w:val="22"/>
        </w:rPr>
        <w:t xml:space="preserve">[PL 1987, c. 667,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§4851. Notice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§4851. Notice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§4851. NOTICE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