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4355</w:t>
        <w:t xml:space="preserve">.  </w:t>
      </w:r>
      <w:r>
        <w:rPr>
          <w:b/>
        </w:rPr>
        <w:t xml:space="preserve">Right of priority in case of sale preserved</w:t>
      </w:r>
    </w:p>
    <w:p>
      <w:pPr>
        <w:jc w:val="both"/>
        <w:spacing w:before="100" w:after="100"/>
        <w:ind w:start="360"/>
        <w:ind w:firstLine="360"/>
      </w:pPr>
      <w:r>
        <w:rPr/>
      </w:r>
      <w:r>
        <w:rPr/>
      </w:r>
      <w:r>
        <w:t xml:space="preserve">When goods which are sold by order of court in the manner provided have been attached by several creditors, any one of them may demand and receive satisfaction of his judgment, notwithstanding any prior attachments, if he is otherwise entitled to demand the money and a sufficient sum is left of the proceeds of the goods or of their appraised value to satisfy all prior attachments.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§4355. Right of priority in case of sale preserved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§4355. Right of priority in case of sale preserved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§4355. RIGHT OF PRIORITY IN CASE OF SALE PRESERVED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