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§4353. Petition for sale;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Petition for sale;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§4353. PETITION FOR SALE;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