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4251</w:t>
        <w:t xml:space="preserve">.  </w:t>
      </w:r>
      <w:r>
        <w:rPr>
          <w:b/>
        </w:rPr>
        <w:t xml:space="preserve">Attachment of encumbered personal property</w:t>
      </w:r>
    </w:p>
    <w:p>
      <w:pPr>
        <w:jc w:val="both"/>
        <w:spacing w:before="100" w:after="100"/>
        <w:ind w:start="360"/>
        <w:ind w:firstLine="360"/>
      </w:pPr>
      <w:r>
        <w:rPr/>
      </w:r>
      <w:r>
        <w:rPr/>
      </w:r>
      <w:r>
        <w:t xml:space="preserve">Personal property not exempt from attachment, which is subject to a security interest or which has been mortgaged, pledged or subject to any lien created by law and of which the debtor has the right of redemption, may be attached, held and sold as if unencumbered, subject to </w:t>
      </w:r>
      <w:r>
        <w:t>sections 4159</w:t>
      </w:r>
      <w:r>
        <w:t xml:space="preserve"> and </w:t>
      </w:r>
      <w:r>
        <w:t>4252</w:t>
      </w:r>
      <w:r>
        <w:t xml:space="preserve"> to </w:t>
      </w:r>
      <w:r>
        <w:t>4256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1967, c. 213,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§4251. Attachment of encumbered personal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§4251. Attachment of encumbered personal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§4251. ATTACHMENT OF ENCUMBERED PERSONAL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