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Attached goods not assets of deceased officer's estate</w:t>
      </w:r>
    </w:p>
    <w:p>
      <w:pPr>
        <w:jc w:val="both"/>
        <w:spacing w:before="100" w:after="100"/>
        <w:ind w:start="360"/>
        <w:ind w:firstLine="360"/>
      </w:pPr>
      <w:r>
        <w:rPr/>
      </w:r>
      <w:r>
        <w:rPr/>
      </w:r>
      <w:r>
        <w:t xml:space="preserve">Personal property, attached by an officer and in his possession, and his claim for damages when it is taken from him remain subject to such attachment in case of his death, as if he were alive, and are not assets belonging to his estate.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Attached goods not assets of deceased officer's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Attached goods not assets of deceased officer's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§4201. ATTACHED GOODS NOT ASSETS OF DECEASED OFFICER'S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