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406</w:t>
        <w:t xml:space="preserve">.  </w:t>
      </w:r>
      <w:r>
        <w:rPr>
          <w:b/>
        </w:rPr>
        <w:t xml:space="preserve">Application to court</w:t>
      </w:r>
    </w:p>
    <w:p>
      <w:pPr>
        <w:jc w:val="both"/>
        <w:spacing w:before="100" w:after="100"/>
        <w:ind w:start="360"/>
        <w:ind w:firstLine="360"/>
      </w:pPr>
      <w:r>
        <w:rPr/>
      </w:r>
      <w:r>
        <w:rPr/>
      </w:r>
      <w:r>
        <w:t xml:space="preserve">An application to the court for a protective order or to enforce, quash or modify a subpoena issued by a clerk of court under </w:t>
      </w:r>
      <w:r>
        <w:t>section 403</w:t>
      </w:r>
      <w:r>
        <w:t xml:space="preserve"> must comply with the Maine Rules of Civil Procedure and be submitted to the District Court in the district or to the Superior Court of the county in which the discovery is to be or is being conducted.</w:t>
      </w:r>
      <w:r>
        <w:t xml:space="preserve">  </w:t>
      </w:r>
      <w:r xmlns:wp="http://schemas.openxmlformats.org/drawingml/2010/wordprocessingDrawing" xmlns:w15="http://schemas.microsoft.com/office/word/2012/wordml">
        <w:rPr>
          <w:rFonts w:ascii="Arial" w:hAnsi="Arial" w:cs="Arial"/>
          <w:sz w:val="22"/>
          <w:szCs w:val="22"/>
        </w:rPr>
        <w:t xml:space="preserve">[PL 2019, c. 109,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§406. Application to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§406. Application to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§406. APPLICATION TO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