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3104</w:t>
        <w:t xml:space="preserve">.  </w:t>
      </w:r>
      <w:r>
        <w:rPr>
          <w:b/>
        </w:rPr>
        <w:t xml:space="preserve">Execution where principal or trustee moves</w:t>
      </w:r>
    </w:p>
    <w:p>
      <w:pPr>
        <w:jc w:val="both"/>
        <w:spacing w:before="100" w:after="100"/>
        <w:ind w:start="360"/>
        <w:ind w:firstLine="360"/>
      </w:pPr>
      <w:r>
        <w:rPr/>
      </w:r>
      <w:r>
        <w:rPr/>
      </w:r>
      <w:r>
        <w:t xml:space="preserve">If, after a judgment is rendered in such trustee process, the principal defendant or trustee removes from the county in which it was rendered, such court may issue execution against either, directed to the proper officer of any other county where he is supposed to reside.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§3104. Execution where principal or trustee moves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§3104. Execution where principal or trustee moves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§3104. EXECUTION WHERE PRINCIPAL OR TRUSTEE MOVES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