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Judgment when all trustees default</w:t>
      </w:r>
    </w:p>
    <w:p>
      <w:pPr>
        <w:jc w:val="both"/>
        <w:spacing w:before="100" w:after="100"/>
        <w:ind w:start="360"/>
        <w:ind w:firstLine="360"/>
      </w:pPr>
      <w:r>
        <w:rPr/>
      </w:r>
      <w:r>
        <w:rPr/>
      </w:r>
      <w:r>
        <w:t xml:space="preserve">When all the trustees are defaulted in proceedings after judgment, not having been examined in the original action, the court may enter up joint or several judgments, as the case requires, and issue execution in common form.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§2953. Judgment when all trustees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Judgment when all trustees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§2953. JUDGMENT WHEN ALL TRUSTEES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