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2851</w:t>
        <w:t xml:space="preserve">.  </w:t>
      </w:r>
      <w:r>
        <w:rPr>
          <w:b/>
        </w:rPr>
        <w:t xml:space="preserve">Goods held by administrator</w:t>
      </w:r>
    </w:p>
    <w:p>
      <w:pPr>
        <w:jc w:val="both"/>
        <w:spacing w:before="100" w:after="100"/>
        <w:ind w:start="360"/>
        <w:ind w:firstLine="360"/>
      </w:pPr>
      <w:r>
        <w:rPr/>
      </w:r>
      <w:r>
        <w:rPr/>
      </w:r>
      <w:r>
        <w:t xml:space="preserve">If a person summoned as a trustee in his own right dies before the judgment recovered by the plaintiff is satisfied, the goods, effects and credits in his hands at the time of attachment remain bound thereby, and his executors or administrators are liable therefor as if the summons had been originally served on them.</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§2851. Goods held by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§2851. Goods held by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§2851. GOODS HELD BY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