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2601</w:t>
        <w:t xml:space="preserve">.  </w:t>
      </w:r>
      <w:r>
        <w:rPr>
          <w:b/>
        </w:rPr>
        <w:t xml:space="preserve">Actions in which trustee process used</w:t>
      </w:r>
    </w:p>
    <w:p>
      <w:pPr>
        <w:jc w:val="both"/>
        <w:spacing w:before="100" w:after="100"/>
        <w:ind w:start="360"/>
        <w:ind w:firstLine="360"/>
      </w:pPr>
      <w:r>
        <w:rPr/>
      </w:r>
      <w:r>
        <w:rPr/>
      </w:r>
      <w:r>
        <w:t xml:space="preserve">In connection with the commencement of any personal action, except actions only for specific recovery of goods and chattels, for malicious prosecution, for slander by writing or speaking or for assault and battery, trustee process may be used in the Superior Court or in the District Court.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§2601. Actions in which trustee process used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§2601. Actions in which trustee process used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§2601. ACTIONS IN WHICH TRUSTEE PROCESS USED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