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1513</w:t>
        <w:t xml:space="preserve">.  </w:t>
      </w:r>
      <w:r>
        <w:rPr>
          <w:b/>
        </w:rPr>
        <w:t xml:space="preserve">Travel fees not taxable for State</w:t>
      </w:r>
    </w:p>
    <w:p>
      <w:pPr>
        <w:jc w:val="both"/>
        <w:spacing w:before="100" w:after="100"/>
        <w:ind w:start="360"/>
        <w:ind w:firstLine="360"/>
      </w:pPr>
      <w:r>
        <w:rPr/>
      </w:r>
      <w:r>
        <w:rPr/>
      </w:r>
      <w:r>
        <w:t xml:space="preserve">When the State recovers costs in a civil action no fees shall be taxed for the travel of an attorney.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§1513. Travel fees not taxable for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§1513. Travel fees not taxable for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§1513. TRAVEL FEES NOT TAXABLE FOR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