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755. ACTIONS FOR FILING FALSE RECORDABLE INSTRUMENTS AGAINST PUBLIC EMPLOYEES AND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