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§910. CONTACT PERSON FOR CORPORATION;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