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Authority to transact business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3</w:t>
      </w:r>
      <w:r>
        <w:t xml:space="preserve">, a foreign professional corporation may not transact business in this State until it obtains authority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Preconditions.</w:t>
        <w:t xml:space="preserve"> </w:t>
      </w:r>
      <w:r>
        <w:t xml:space="preserve"> </w:t>
      </w:r>
      <w:r>
        <w:t xml:space="preserve">A foreign professional corporation may not obtain authority to transact business in this State unless:</w:t>
      </w:r>
    </w:p>
    <w:p>
      <w:pPr>
        <w:jc w:val="both"/>
        <w:spacing w:before="100" w:after="0"/>
        <w:ind w:start="720"/>
      </w:pPr>
      <w:r>
        <w:rPr/>
        <w:t>A</w:t>
        <w:t xml:space="preserve">.  </w:t>
      </w:r>
      <w:r>
        <w:rPr/>
      </w:r>
      <w:r>
        <w:t xml:space="preserve">Its corporate name satisfies the requirements of </w:t>
      </w:r>
      <w:r>
        <w:t>section 736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It is incorporated for one or more of the purposes described in </w:t>
      </w:r>
      <w:r>
        <w:t>section 732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Office required.</w:t>
        <w:t xml:space="preserve"> </w:t>
      </w:r>
      <w:r>
        <w:t xml:space="preserve"> </w:t>
      </w:r>
      <w:r>
        <w:t xml:space="preserve">A foreign professional corporation is not required to obtain authority to transact business in this State unless it maintains or intends to maintain an office in this State for conduct of business or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Authority to transact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Authority to transact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§771. AUTHORITY TO TRANSACT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