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2285</w:t>
        <w:t xml:space="preserve">.  </w:t>
      </w:r>
      <w:r>
        <w:rPr>
          <w:b/>
        </w:rPr>
        <w:t xml:space="preserve">Enforcement of contract; injunction; specific performance</w:t>
      </w:r>
    </w:p>
    <w:p>
      <w:pPr>
        <w:jc w:val="both"/>
        <w:spacing w:before="100" w:after="100"/>
        <w:ind w:start="360"/>
        <w:ind w:firstLine="360"/>
      </w:pPr>
      <w:r>
        <w:rPr/>
      </w:r>
      <w:r>
        <w:rPr/>
      </w:r>
      <w:r>
        <w:t xml:space="preserve">In the event of any such breach or threatened breach of such marketing contract by a member the association shall be entitled to an injunction to prevent the further breach of the contract and to a decree of specific performance thereof. Pending the adjudication of such an action and upon filing a verified complaint showing the breach or threatened breach, and upon filing sufficient bond, the association shall be entitled to a temporary restraining order and preliminary injunction against the member.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§2285. Enforcement of contract; injunction; specific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§2285. ENFORCEMENT OF CONTRACT; INJUNCTION; SPECIFIC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