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1827</w:t>
        <w:t xml:space="preserve">.  </w:t>
      </w:r>
      <w:r>
        <w:rPr>
          <w:b/>
        </w:rPr>
        <w:t xml:space="preserve">General and special meetings</w:t>
      </w:r>
    </w:p>
    <w:p>
      <w:pPr>
        <w:jc w:val="both"/>
        <w:spacing w:before="100" w:after="100"/>
        <w:ind w:start="360"/>
        <w:ind w:firstLine="360"/>
      </w:pPr>
      <w:r>
        <w:rPr/>
      </w:r>
      <w:r>
        <w:rPr/>
      </w:r>
      <w:r>
        <w:t xml:space="preserve">An association may provide in its bylaws for one or more regular meetings each year, which may be held within or without the State at the time and place designated in the bylaws. Special meetings of the members may be called by the board of directors, and it shall be their duty to call such meetings when 10% of the members file with the secretary a petition demanding a special meeting and specifying the business to be considered at such meeting. Notice of all meetings, except as otherwise provided by law, or the articles or bylaws, shall be mailed to each member at least 10 days prior to the meeting, and in case of special meetings the notice shall state the purposes for which it is called, but the bylaws may require that all notices, except of proposed amendments to the articles, shall be given by publication in a periodical published by or for the association, to which substantially all its members are subscribers, or in a newspaper or newspapers whose combined circulation is general in the territory in which the association operates.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§1827. General and special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§1827. General and special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§1827. GENERAL AND SPECIAL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