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§1775. Existing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Existing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§1775. EXISTING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