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w:t>
        <w:t xml:space="preserve">.  </w:t>
      </w:r>
      <w:r>
        <w:rPr>
          <w:b/>
        </w:rPr>
        <w:t xml:space="preserve">Purposes</w:t>
      </w:r>
    </w:p>
    <w:p>
      <w:pPr>
        <w:jc w:val="both"/>
        <w:spacing w:before="100" w:after="100"/>
        <w:ind w:start="360"/>
        <w:ind w:firstLine="360"/>
      </w:pPr>
      <w:r>
        <w:rPr/>
      </w:r>
      <w:r>
        <w:rPr/>
      </w:r>
      <w:r>
        <w:t xml:space="preserve">An association may be incorporated under this subchapter to engage in any one or more lawful mode or modes of acquiring, producing, building, operating, manufacturing, furnishing, exchanging or distributing any type or types of property, commodities, goods or services for the primary and mutual benefit of the patrons of the association, or their patrons, if any, as ultimate consumers.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§1553.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§1553.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