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Investment of funds</w:t>
      </w:r>
    </w:p>
    <w:p>
      <w:pPr>
        <w:jc w:val="both"/>
        <w:spacing w:before="100" w:after="100"/>
        <w:ind w:start="360"/>
        <w:ind w:firstLine="360"/>
      </w:pPr>
      <w:r>
        <w:rPr/>
      </w:r>
      <w:r>
        <w:rPr/>
      </w:r>
      <w:r>
        <w:t xml:space="preserve">Cemetery trust funds of any cemetery corporation or association, trust company, church, religious or charitable society, or other trustee, shall be invested in the manner provided in </w:t>
      </w:r>
      <w:r>
        <w:t>Title 30‑A, chapter 223, subchapter III‑A</w:t>
      </w:r>
      <w:r>
        <w:t xml:space="preserve">, and, unless the instrument or order creating the trusts prohibits, may be combined with other similar trust funds in the manner provided in </w:t>
      </w:r>
      <w:r>
        <w:t>Title 30‑A, section 5654</w:t>
      </w:r>
      <w:r>
        <w:t xml:space="preserve">, and the annual income only shall be expended in performance of the requirements of the trust.</w:t>
      </w:r>
      <w:r>
        <w:t xml:space="preserve">  </w:t>
      </w:r>
      <w:r xmlns:wp="http://schemas.openxmlformats.org/drawingml/2010/wordprocessingDrawing" xmlns:w15="http://schemas.microsoft.com/office/word/2012/wordml">
        <w:rPr>
          <w:rFonts w:ascii="Arial" w:hAnsi="Arial" w:cs="Arial"/>
          <w:sz w:val="22"/>
          <w:szCs w:val="22"/>
        </w:rPr>
        <w:t xml:space="preserve">[PL 1987, c. 737, Pt. C, §§24,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§§C24,C106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§1223.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§1223.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