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1101-E</w:t>
        <w:t xml:space="preserve">.  </w:t>
      </w:r>
      <w:r>
        <w:rPr>
          <w:b/>
        </w:rPr>
        <w:t xml:space="preserve">Graves on land owned by Federal Government</w:t>
      </w:r>
    </w:p>
    <w:p>
      <w:pPr>
        <w:jc w:val="both"/>
        <w:spacing w:before="100" w:after="100"/>
        <w:ind w:start="360"/>
        <w:ind w:firstLine="360"/>
      </w:pPr>
      <w:r>
        <w:rPr/>
      </w:r>
      <w:r>
        <w:rPr/>
      </w:r>
      <w:r>
        <w:t xml:space="preserve">Veterans' graves as described in </w:t>
      </w:r>
      <w:r>
        <w:t>section 1101</w:t>
      </w:r>
      <w:r>
        <w:t xml:space="preserve"> that are located on a site that was owned by the Federal Government as of January 1, 2000 are not subject to the requirements of </w:t>
      </w:r>
      <w:r>
        <w:t>section 1101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700,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§1101-E. Graves on land owned by Federal Government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§1101-E. Graves on land owned by Federal Government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§1101-E. GRAVES ON LAND OWNED BY FEDERAL GOVERNMENT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