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w:t>
        <w:t xml:space="preserve">.  </w:t>
      </w:r>
      <w:r>
        <w:rPr>
          <w:b/>
        </w:rPr>
        <w:t xml:space="preserve">Meetings</w:t>
      </w:r>
    </w:p>
    <w:p>
      <w:pPr>
        <w:jc w:val="both"/>
        <w:spacing w:before="100" w:after="0"/>
        <w:ind w:start="360"/>
        <w:ind w:firstLine="360"/>
      </w:pPr>
      <w:r>
        <w:rPr>
          <w:b/>
        </w:rPr>
        <w:t>1</w:t>
        <w:t xml:space="preserve">.  </w:t>
      </w:r>
      <w:r>
        <w:rPr>
          <w:b/>
        </w:rPr>
        <w:t xml:space="preserve">Location.</w:t>
        <w:t xml:space="preserve"> </w:t>
      </w:r>
      <w:r>
        <w:t xml:space="preserve"> </w:t>
      </w:r>
      <w:r>
        <w:t xml:space="preserve">The corporation's board of directors may hold regular or special meetings in or out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Participation of directors.</w:t>
        <w:t xml:space="preserve"> </w:t>
      </w:r>
      <w:r>
        <w:t xml:space="preserve"> </w:t>
      </w:r>
      <w:r>
        <w:t xml:space="preserve">Unless the corporation's articles of incorporation or bylaws provide otherwise, the corporation's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deemed to be present in person at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§821.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