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Effect of entity conversion</w:t>
      </w:r>
    </w:p>
    <w:p>
      <w:pPr>
        <w:jc w:val="both"/>
        <w:spacing w:before="100" w:after="100"/>
        <w:ind w:start="360"/>
        <w:ind w:firstLine="360"/>
      </w:pPr>
      <w:r>
        <w:rPr>
          <w:b/>
        </w:rPr>
        <w:t>1</w:t>
        <w:t xml:space="preserve">.  </w:t>
      </w:r>
      <w:r>
        <w:rPr>
          <w:b/>
        </w:rPr>
        <w:t xml:space="preserve">Conversion to domestic business corporation or domestic other entity.</w:t>
        <w:t xml:space="preserve"> </w:t>
      </w:r>
      <w:r>
        <w:t xml:space="preserve"> </w:t>
      </w:r>
      <w:r>
        <w:t xml:space="preserve">When a conversion under this subchapter in which the surviving entity is a domestic business corporation or domestic unincorporated entity becomes effective:</w:t>
      </w:r>
    </w:p>
    <w:p>
      <w:pPr>
        <w:jc w:val="both"/>
        <w:spacing w:before="100" w:after="0"/>
        <w:ind w:start="720"/>
      </w:pPr>
      <w:r>
        <w:rPr/>
        <w:t>A</w:t>
        <w:t xml:space="preserve">.  </w:t>
      </w:r>
      <w:r>
        <w:rPr/>
      </w:r>
      <w:r>
        <w:t xml:space="preserve">The title to all real and personal property, both tangible and intangible, of the converting entity remains in the surviving entity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converting entity remain the liabilities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converting entity continues against the surviving entity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the case of a surviving entity that is a filing entity, the articles of conversion or the articles of incorporation or public organic document attached to the articles of conversion constitute the articles of incorporation or public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In the case of a surviving entity that is a nonfiling entity, the private organic document provided for in the plan of entity conversion constitutes the private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shares or interests of the converting entity are reclassified into shares, interests, other securities, obligations, rights to acquire shares, interests or other securities or into cash or other property in accordance with the plan of entity conversion; and the shareholders or interest holders of the converting entity are entitled only to the rights provided in the plan of entity conversion and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surviving entity is deemed to:</w:t>
      </w:r>
    </w:p>
    <w:p>
      <w:pPr>
        <w:jc w:val="both"/>
        <w:spacing w:before="100" w:after="0"/>
        <w:ind w:start="1080"/>
      </w:pPr>
      <w:r>
        <w:rPr/>
        <w:t>(</w:t>
        <w:t>1</w:t>
        <w:t xml:space="preserve">)  </w:t>
      </w:r>
      <w:r>
        <w:rPr/>
      </w:r>
      <w:r>
        <w:t xml:space="preserve">Be a domestic business corporation or domestic unincorporated entity for all purposes;</w:t>
      </w:r>
    </w:p>
    <w:p>
      <w:pPr>
        <w:jc w:val="both"/>
        <w:spacing w:before="100" w:after="0"/>
        <w:ind w:start="1080"/>
      </w:pPr>
      <w:r>
        <w:rPr/>
        <w:t>(</w:t>
        <w:t>2</w:t>
        <w:t xml:space="preserve">)  </w:t>
      </w:r>
      <w:r>
        <w:rPr/>
      </w:r>
      <w:r>
        <w:t xml:space="preserve">Be the same corporation or unincorporated entity without interruption as the converting entity; and</w:t>
      </w:r>
    </w:p>
    <w:p>
      <w:pPr>
        <w:jc w:val="both"/>
        <w:spacing w:before="100" w:after="0"/>
        <w:ind w:start="1080"/>
      </w:pPr>
      <w:r>
        <w:rPr/>
        <w:t>(</w:t>
        <w:t>3</w:t>
        <w:t xml:space="preserve">)  </w:t>
      </w:r>
      <w:r>
        <w:rPr/>
      </w:r>
      <w:r>
        <w:t xml:space="preserve">Have been incorporated or otherwise organized on the date that the converting entity was originally incorporated or organized.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a foreign other entity.</w:t>
        <w:t xml:space="preserve"> </w:t>
      </w:r>
      <w:r>
        <w:t xml:space="preserve"> </w:t>
      </w:r>
      <w:r>
        <w:t xml:space="preserve">When a conversion of a domestic business corporation to a foreign unincorporated entity becomes effective, the surviving entity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Owner liability; shareholder.</w:t>
        <w:t xml:space="preserve"> </w:t>
      </w:r>
      <w:r>
        <w:t xml:space="preserve"> </w:t>
      </w:r>
      <w:r>
        <w:t xml:space="preserve">A shareholder who becomes subject to owner liability for some or all of the debts, obligations or liabilities of the surviving entity is personally liable only for those debts, obligations or liabilities of the surviving entity that arise after the effective time of the articles of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Interest holder; owner liability.</w:t>
        <w:t xml:space="preserve"> </w:t>
      </w:r>
      <w:r>
        <w:t xml:space="preserve"> </w:t>
      </w:r>
      <w:r>
        <w:t xml:space="preserve">The owner liability of an interest holder in an unincorporated entity that converts to a domestic business corporation is as provided in this subsection.</w:t>
      </w:r>
    </w:p>
    <w:p>
      <w:pPr>
        <w:jc w:val="both"/>
        <w:spacing w:before="100" w:after="0"/>
        <w:ind w:start="720"/>
      </w:pPr>
      <w:r>
        <w:rPr/>
        <w:t>A</w:t>
        <w:t xml:space="preserve">.  </w:t>
      </w:r>
      <w:r>
        <w:rPr/>
      </w:r>
      <w:r>
        <w:t xml:space="preserve">The conversion does not discharge any owner liability under the organic law of the unincorporated entity to the extent any owner liability arose before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interest holder does not have owner liability under the organic law of the unincorporated entity for any debt, obligation or liability of the domestic business corporation that arises after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organic law of the unincorporated entity continue to apply to the collection or discharge of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interest holder has whatever rights of contribution from other interest holders are provided by the organic law of the unincorporated entity with respect to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Effect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Effect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§957. EFFECT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