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629</w:t>
        <w:t xml:space="preserve">.  </w:t>
      </w:r>
      <w:r>
        <w:rPr>
          <w:b/>
        </w:rPr>
        <w:t xml:space="preserve">Expense of issue</w:t>
      </w:r>
    </w:p>
    <w:p>
      <w:pPr>
        <w:jc w:val="both"/>
        <w:spacing w:before="100" w:after="100"/>
        <w:ind w:start="360"/>
        <w:ind w:firstLine="360"/>
      </w:pPr>
      <w:r>
        <w:rPr/>
      </w:r>
      <w:r>
        <w:rPr/>
      </w:r>
      <w:r>
        <w:t xml:space="preserve">A corporation may pay the expenses of selling or underwriting its shares and of organizing or reorganizing the corporation from the consideration received for shares.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§629. Expense of issue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§629. Expense of issue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§629. EXPENSE OF ISSUE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