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Corporate name of foreign corporation</w:t>
      </w:r>
    </w:p>
    <w:p>
      <w:pPr>
        <w:jc w:val="both"/>
        <w:spacing w:before="100" w:after="0"/>
        <w:ind w:start="360"/>
        <w:ind w:firstLine="360"/>
      </w:pPr>
      <w:r>
        <w:rPr>
          <w:b/>
        </w:rPr>
        <w:t>1</w:t>
        <w:t xml:space="preserve">.  </w:t>
      </w:r>
      <w:r>
        <w:rPr>
          <w:b/>
        </w:rPr>
        <w:t xml:space="preserve">Name.</w:t>
        <w:t xml:space="preserve"> </w:t>
      </w:r>
      <w:r>
        <w:t xml:space="preserve"> </w:t>
      </w:r>
      <w:r>
        <w:t xml:space="preserve">A foreign corporation is not authorized to carry on activities in this State unless the name of the corporation complies with the requirements of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§18 (AMD).]</w:t>
      </w:r>
    </w:p>
    <w:p>
      <w:pPr>
        <w:jc w:val="both"/>
        <w:spacing w:before="100" w:after="0"/>
        <w:ind w:start="360"/>
        <w:ind w:firstLine="360"/>
      </w:pPr>
      <w:r>
        <w:rPr>
          <w:b/>
        </w:rPr>
        <w:t>2</w:t>
        <w:t xml:space="preserve">.  </w:t>
      </w:r>
      <w:r>
        <w:rPr>
          <w:b/>
        </w:rPr>
        <w:t xml:space="preserve">Change of name.</w:t>
        <w:t xml:space="preserve"> </w:t>
      </w:r>
      <w:r>
        <w:t xml:space="preserve"> </w:t>
      </w:r>
      <w:r>
        <w:t xml:space="preserve">If a foreign corporation authorized to carry on activities in this State shall change its name in its jurisdiction of incorporation, it shall, within 30 days after the effective date thereof, amend its application for authority, as provided by </w:t>
      </w:r>
      <w:r>
        <w:t>section 1207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Unavailable name.</w:t>
        <w:t xml:space="preserve"> </w:t>
      </w:r>
      <w:r>
        <w:t xml:space="preserve"> </w:t>
      </w:r>
      <w:r>
        <w:t xml:space="preserve">If the name to which the foreign corporation has changed would be unavailable to it on an original application for authority, the corporation shall not thereafter carry on any activities in this State until it has adopted or assumed a name which is available to it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2003, c. 344, §B18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§1205. Corporate name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Corporate name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§1205. CORPORATE NAME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