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9338</w:t>
        <w:t xml:space="preserve">.  </w:t>
      </w:r>
      <w:r>
        <w:rPr>
          <w:b/>
        </w:rPr>
        <w:t xml:space="preserve">Prohibition</w:t>
      </w:r>
    </w:p>
    <w:p>
      <w:pPr>
        <w:jc w:val="both"/>
        <w:spacing w:before="100" w:after="100"/>
        <w:ind w:start="360"/>
        <w:ind w:firstLine="360"/>
      </w:pPr>
      <w:r>
        <w:rPr/>
      </w:r>
      <w:r>
        <w:rPr/>
      </w:r>
      <w:r>
        <w:t xml:space="preserve">Failure to comply with the slash disposal requirements of this Article shall subject the person responsible to a penalty as set forth in </w:t>
      </w:r>
      <w:r>
        <w:t>section 9701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§9338.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§9338.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§9338.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