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Right to call and employ assistance</w:t>
      </w:r>
    </w:p>
    <w:p>
      <w:pPr>
        <w:jc w:val="both"/>
        <w:spacing w:before="100" w:after="100"/>
        <w:ind w:start="360"/>
        <w:ind w:firstLine="360"/>
      </w:pPr>
      <w:r>
        <w:rPr/>
      </w:r>
      <w:r>
        <w:rPr/>
      </w:r>
      <w:r>
        <w:t xml:space="preserve">Forest rangers and town forest fire wardens may employ any person considered necessary to assist in fighting forest fires. All called and employed for assistance shall proceed to help control forest fires as directed by the forest ranger or forest fire warden in charge.</w:t>
      </w:r>
      <w:r>
        <w:t xml:space="preserve">  </w:t>
      </w:r>
      <w:r xmlns:wp="http://schemas.openxmlformats.org/drawingml/2010/wordprocessingDrawing" xmlns:w15="http://schemas.microsoft.com/office/word/2012/wordml">
        <w:rPr>
          <w:rFonts w:ascii="Arial" w:hAnsi="Arial" w:cs="Arial"/>
          <w:sz w:val="22"/>
          <w:szCs w:val="22"/>
        </w:rPr>
        <w:t xml:space="preserve">[PL 1983, c. 556,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§9202. Right to call and employ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Right to call and employ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§9202. RIGHT TO CALL AND EMPLOY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