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8882</w:t>
        <w:t xml:space="preserve">.  </w:t>
      </w:r>
      <w:r>
        <w:rPr>
          <w:b/>
        </w:rPr>
        <w:t xml:space="preserve">Forms</w:t>
      </w:r>
    </w:p>
    <w:p>
      <w:pPr>
        <w:jc w:val="both"/>
        <w:spacing w:before="100" w:after="100"/>
        <w:ind w:start="360"/>
        <w:ind w:firstLine="360"/>
      </w:pPr>
      <w:r>
        <w:rPr/>
      </w:r>
      <w:r>
        <w:rPr/>
      </w:r>
      <w:r>
        <w:t xml:space="preserve">Forms required under this subchapter must be provided by the bureau and must be written in an easily understandable format.  In addition to the information required under </w:t>
      </w:r>
      <w:r>
        <w:t>section 8883‑B</w:t>
      </w:r>
      <w:r>
        <w:t xml:space="preserve">, the bureau may request information regarding business practices and workers' compensation coverage.</w:t>
      </w:r>
      <w:r>
        <w:t xml:space="preserve">  </w:t>
      </w:r>
      <w:r xmlns:wp="http://schemas.openxmlformats.org/drawingml/2010/wordprocessingDrawing" xmlns:w15="http://schemas.microsoft.com/office/word/2012/wordml">
        <w:rPr>
          <w:rFonts w:ascii="Arial" w:hAnsi="Arial" w:cs="Arial"/>
          <w:sz w:val="22"/>
          <w:szCs w:val="22"/>
        </w:rPr>
        <w:t xml:space="preserve">[PL 2003, c. 452, Pt. F, §42 (AMD); PL 2003, c. 452, Pt. X, §2 (AFF); PL 2011, c. 657, Pt. W, §7 (REV); PL 2013, c. 405, Pt. A, §23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555, §12 (NEW). PL 1989, c. 600, §B11 (AMD). PL 1997, c. 648, §3 (AMD). PL 2003, c. 452, §F42 (AMD). PL 2003, c. 452, §X2 (AFF). PL 2011, c. 657, Pt. W, §7 (REV). PL 2013, c. 405, Pt. A, §23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§8882. 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§8882. 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§8882. 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