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8867-G</w:t>
        <w:t xml:space="preserve">.  </w:t>
      </w:r>
      <w:r>
        <w:rPr>
          <w:b/>
        </w:rPr>
        <w:t xml:space="preserve">Forest certification programs</w:t>
      </w:r>
    </w:p>
    <w:p>
      <w:pPr>
        <w:jc w:val="both"/>
        <w:spacing w:before="100" w:after="100"/>
        <w:ind w:start="360"/>
        <w:ind w:firstLine="360"/>
      </w:pPr>
      <w:r>
        <w:rPr>
          <w:b/>
        </w:rPr>
        <w:t>1</w:t>
        <w:t xml:space="preserve">.  </w:t>
      </w:r>
      <w:r>
        <w:rPr>
          <w:b/>
        </w:rPr>
        <w:t xml:space="preserve">Requirements for state land.</w:t>
        <w:t xml:space="preserve"> </w:t>
      </w:r>
      <w:r>
        <w:t xml:space="preserve"> </w:t>
      </w:r>
      <w:r>
        <w:t xml:space="preserve">The Department of Agriculture, Conservation and Forestry may obtain or maintain certification from a forest certification program for state land only if the program, in order to obtain certification under the program:</w:t>
      </w:r>
    </w:p>
    <w:p>
      <w:pPr>
        <w:jc w:val="both"/>
        <w:spacing w:before="100" w:after="0"/>
        <w:ind w:start="720"/>
      </w:pPr>
      <w:r>
        <w:rPr/>
        <w:t>A</w:t>
        <w:t xml:space="preserve">.  </w:t>
      </w:r>
      <w:r>
        <w:rPr/>
      </w:r>
      <w:r>
        <w:t xml:space="preserve">Contains performance-based indicators described in </w:t>
      </w:r>
      <w:r>
        <w:t>subsection 2</w:t>
      </w:r>
      <w:r>
        <w:t xml:space="preserve"> that protect forest workers, including logging and trucking contractors, that can be assessed and verified by a recognized certifying entity; and</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B</w:t>
        <w:t xml:space="preserve">.  </w:t>
      </w:r>
      <w:r>
        <w:rPr/>
      </w:r>
      <w:r>
        <w:t xml:space="preserve">Does not require payment to a trade association that is registered with the Commission on Governmental Ethics and Election Practices.</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380, §1 (NEW).]</w:t>
      </w:r>
    </w:p>
    <w:p>
      <w:pPr>
        <w:jc w:val="both"/>
        <w:spacing w:before="100" w:after="100"/>
        <w:ind w:start="360"/>
        <w:ind w:firstLine="360"/>
      </w:pPr>
      <w:r>
        <w:rPr>
          <w:b/>
        </w:rPr>
        <w:t>2</w:t>
        <w:t xml:space="preserve">.  </w:t>
      </w:r>
      <w:r>
        <w:rPr>
          <w:b/>
        </w:rPr>
        <w:t xml:space="preserve">Performance-based indicators.</w:t>
        <w:t xml:space="preserve"> </w:t>
      </w:r>
      <w:r>
        <w:t xml:space="preserve"> </w:t>
      </w:r>
      <w:r>
        <w:t xml:space="preserve">Performance-based indicators required by </w:t>
      </w:r>
      <w:r>
        <w:t>subsection 1</w:t>
      </w:r>
      <w:r>
        <w:t xml:space="preserve"> include the following labor practices:</w:t>
      </w:r>
    </w:p>
    <w:p>
      <w:pPr>
        <w:jc w:val="both"/>
        <w:spacing w:before="100" w:after="0"/>
        <w:ind w:start="720"/>
      </w:pPr>
      <w:r>
        <w:rPr/>
        <w:t>A</w:t>
        <w:t xml:space="preserve">.  </w:t>
      </w:r>
      <w:r>
        <w:rPr/>
      </w:r>
      <w:r>
        <w:t xml:space="preserve">No use of child labor;</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B</w:t>
        <w:t xml:space="preserve">.  </w:t>
      </w:r>
      <w:r>
        <w:rPr/>
      </w:r>
      <w:r>
        <w:t xml:space="preserve">No use of forced labor;</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C</w:t>
        <w:t xml:space="preserve">.  </w:t>
      </w:r>
      <w:r>
        <w:rPr/>
      </w:r>
      <w:r>
        <w:t xml:space="preserve">No discrimination;</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D</w:t>
        <w:t xml:space="preserve">.  </w:t>
      </w:r>
      <w:r>
        <w:rPr/>
      </w:r>
      <w:r>
        <w:t xml:space="preserve">Freedom of association and collective bargaining;</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E</w:t>
        <w:t xml:space="preserve">.  </w:t>
      </w:r>
      <w:r>
        <w:rPr/>
      </w:r>
      <w:r>
        <w:t xml:space="preserve">Promotion of gender equality;</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F</w:t>
        <w:t xml:space="preserve">.  </w:t>
      </w:r>
      <w:r>
        <w:rPr/>
      </w:r>
      <w:r>
        <w:t xml:space="preserve">Implementation of legal occupational health and safety practices;</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G</w:t>
        <w:t xml:space="preserve">.  </w:t>
      </w:r>
      <w:r>
        <w:rPr/>
      </w:r>
      <w:r>
        <w:t xml:space="preserve">Payment of fair wages that meet or exceed the minimum wage;</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H</w:t>
        <w:t xml:space="preserve">.  </w:t>
      </w:r>
      <w:r>
        <w:rPr/>
      </w:r>
      <w:r>
        <w:t xml:space="preserve">Adequate and effective training; and</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w:pPr>
        <w:jc w:val="both"/>
        <w:spacing w:before="100" w:after="0"/>
        <w:ind w:start="720"/>
      </w:pPr>
      <w:r>
        <w:rPr/>
        <w:t>I</w:t>
        <w:t xml:space="preserve">.  </w:t>
      </w:r>
      <w:r>
        <w:rPr/>
      </w:r>
      <w:r>
        <w:t xml:space="preserve">Grievance resolution and compensation for damages.</w:t>
      </w:r>
      <w:r>
        <w:t xml:space="preserve">  </w:t>
      </w:r>
      <w:r xmlns:wp="http://schemas.openxmlformats.org/drawingml/2010/wordprocessingDrawing" xmlns:w15="http://schemas.microsoft.com/office/word/2012/wordml">
        <w:rPr>
          <w:rFonts w:ascii="Arial" w:hAnsi="Arial" w:cs="Arial"/>
          <w:sz w:val="22"/>
          <w:szCs w:val="22"/>
        </w:rPr>
        <w:t xml:space="preserve">[PL 2023, c. 380,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§8867-G. Forest certification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§8867-G. Forest certification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§8867-G. FOREST CERTIFICATION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