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8843</w:t>
        <w:t xml:space="preserve">.  </w:t>
      </w:r>
      <w:r>
        <w:rPr>
          <w:b/>
        </w:rPr>
        <w:t xml:space="preserve">Forgery</w:t>
      </w:r>
    </w:p>
    <w:p>
      <w:pPr>
        <w:jc w:val="both"/>
        <w:spacing w:before="100" w:after="100"/>
        <w:ind w:start="360"/>
        <w:ind w:firstLine="360"/>
      </w:pPr>
      <w:r>
        <w:rPr/>
      </w:r>
      <w:r>
        <w:rPr/>
      </w:r>
      <w:r>
        <w:t xml:space="preserve">Every permit, bill of sale, port of entry statement, or other written document specified in this Article shall be deemed to be a written instrument subject to the laws relating to forgery.</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§8843.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§8843.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§8843.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