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Rehabilitation program</w:t>
      </w:r>
    </w:p>
    <w:p>
      <w:pPr>
        <w:jc w:val="both"/>
        <w:spacing w:before="100" w:after="100"/>
        <w:ind w:start="360"/>
        <w:ind w:firstLine="360"/>
      </w:pPr>
      <w:r>
        <w:rPr/>
      </w:r>
      <w:r>
        <w:rPr/>
      </w:r>
      <w:r>
        <w:t xml:space="preserve">The director may carry out a forest rehabilitation program on unstocked and poorly stocked potential forest land, either public or private, with first priority to burned areas. The director shall make use of federal funds as and if available and of inmates of state institutions, including penal, whenever possible or feasible. The State shall participate in the cost of such forest rehabilitation up to 50% of the total cost on private land including the value of trees. Rehabilitation on private lands may be done only at the landowner's request.</w:t>
      </w:r>
      <w:r>
        <w:t xml:space="preserve">  </w:t>
      </w:r>
      <w:r xmlns:wp="http://schemas.openxmlformats.org/drawingml/2010/wordprocessingDrawing" xmlns:w15="http://schemas.microsoft.com/office/word/2012/wordml">
        <w:rPr>
          <w:rFonts w:ascii="Arial" w:hAnsi="Arial" w:cs="Arial"/>
          <w:sz w:val="22"/>
          <w:szCs w:val="22"/>
        </w:rPr>
        <w:t xml:space="preserve">[RR 2021, c. 2, Pt. B,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§8704. Rehabilitation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Rehabilitation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§8704. REHABILITATION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