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§§78-80 (AMD). PL 1981, c. 644, §§35,36 (AMD). PL 1981, c. 698, §80 (AMD). PL 1987, c. 317, §§23,24 (AMD). PL 1987, c. 402, §B15 (AMD). PL 1987, c. 769, §A50 (AMD). PL 1989, c. 913, §§A15,B13 (AMD). PL 1991, c. 443, §§34,35 (AMD). PL 1993, c. 129, §1 (AMD). PL 1995, c. 65, §A29 (AMD). PL 1995, c. 65, §§A153,C15 (AFF). PL 1995, c. 467, §14 (AMD). PL 1995, c. 679, §§6,7 (AMD). PL 1997, c. 432, §53 (AMD). PL 1997, c. 451, §2 (AMD). PL 1997, c. 614, §2 (AMD). PL 1997, c. 739, §8 (AMD). PL 1997, c. 796, §7 (AMD). PL 1999, c. 127, §§B2,3 (AMD). PL 2001, c. 387, §§36-38 (AMD). PL 2001, c. 421, §B84 (AMD). PL 2001, c. 421, §C1 (AFF). PL 2001, c. 536, §1 (AMD). PL 2001, c. 667, §B7 (AMD). PL 2003, c. 122, §1 (AMD). PL 2003, c. 403, §§28-30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