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7825-C</w:t>
        <w:t xml:space="preserve">.  </w:t>
      </w:r>
      <w:r>
        <w:rPr>
          <w:b/>
        </w:rPr>
        <w:t xml:space="preserve">Personal watercraft rental agent certificate</w:t>
      </w:r>
    </w:p>
    <w:p>
      <w:pPr>
        <w:jc w:val="both"/>
        <w:spacing w:before="100" w:after="100"/>
        <w:ind w:start="360"/>
      </w:pPr>
      <w:r>
        <w:rPr>
          <w:b/>
        </w:rPr>
        <w:t>(REPEALED)</w:t>
      </w:r>
    </w:p>
    <w:p>
      <w:pPr>
        <w:jc w:val="both"/>
        <w:spacing w:before="100" w:after="100"/>
        <w:ind w:start="360"/>
      </w:pPr>
      <w:r>
        <w:rPr>
          <w:b/>
        </w:rPr>
        <w:t>(REALLOCATED FROM TITLE 12, SECTION 7825-B)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§A31 (RAL). PL 1999, c. 403, §36 (RP). PL 1999, c. 403, §38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§7825-C. Personal watercraft rental agent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§7825-C. PERSONAL WATERCRAFT RENTAL AGENT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