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6556</w:t>
        <w:t xml:space="preserve">.  </w:t>
      </w:r>
      <w:r>
        <w:rPr>
          <w:b/>
        </w:rPr>
        <w:t xml:space="preserve">Striped bass; limits; personal use</w:t>
      </w:r>
    </w:p>
    <w:p>
      <w:pPr>
        <w:jc w:val="both"/>
        <w:spacing w:before="100" w:after="100"/>
        <w:ind w:start="360"/>
        <w:ind w:firstLine="360"/>
      </w:pPr>
      <w:r>
        <w:rPr/>
      </w:r>
      <w:r>
        <w:rPr/>
      </w:r>
      <w:r>
        <w:t xml:space="preserve">It is unlawful for any person to fish for or take striped bass, except for personal use.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713, §§1,2 (NEW). PL 1985, c. 596, §3 (AMD). PL 1985, c. 596, §§4,5 (RPR). PL 1987, c. 622, §2 (RPR). PL 1989, c. 788, §3 (AMD). PL 2001, c. 272,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§6556. Striped bass; limits; personal 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§6556. Striped bass; limits; personal use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§6556. STRIPED BASS; LIMITS; PERSONAL 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