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6476</w:t>
        <w:t xml:space="preserve">.  </w:t>
      </w:r>
      <w:r>
        <w:rPr>
          <w:b/>
        </w:rPr>
        <w:t xml:space="preserve">Former registrants</w:t>
      </w:r>
    </w:p>
    <w:p>
      <w:pPr>
        <w:jc w:val="both"/>
        <w:spacing w:before="100" w:after="100"/>
        <w:ind w:start="360"/>
        <w:ind w:firstLine="360"/>
      </w:pPr>
      <w:r>
        <w:rPr/>
      </w:r>
      <w:r>
        <w:rPr/>
      </w:r>
      <w:r>
        <w:t xml:space="preserve">A person whose registration to obtain Monhegan Lobster Conservation Area trap tags has lapsed may be listed on the waiting list under </w:t>
      </w:r>
      <w:r>
        <w:t>section 6475, subsection 1, paragraph A</w:t>
      </w:r>
      <w:r>
        <w:t xml:space="preserve"> and may purchase trap tags if the person becomes registered pursuant to </w:t>
      </w:r>
      <w:r>
        <w:t>section 6475, subsection 1, paragraph C</w:t>
      </w:r>
      <w:r>
        <w:t xml:space="preserve">.  A person included on the waiting list pursuant to this subsection must be listed chronologically according to the time and date the commissioner received written notification from that person requesting that person be listed on the waiting list.</w:t>
      </w:r>
      <w:r>
        <w:t xml:space="preserve">  </w:t>
      </w:r>
      <w:r xmlns:wp="http://schemas.openxmlformats.org/drawingml/2010/wordprocessingDrawing" xmlns:w15="http://schemas.microsoft.com/office/word/2012/wordml">
        <w:rPr>
          <w:rFonts w:ascii="Arial" w:hAnsi="Arial" w:cs="Arial"/>
          <w:sz w:val="22"/>
          <w:szCs w:val="22"/>
        </w:rPr>
        <w:t xml:space="preserve">[PL 2011, c. 486,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574, §4 (NEW). PL 2011, c. 486,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§6476. Former registrants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§6476. Former registrants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§6476. FORMER REGISTRANTS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