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73. Public trust rights in intertid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Public trust rights in intertid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3. PUBLIC TRUST RIGHTS IN INTERTID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