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§4807-A. Minimum lot size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§4807-A. MINIMUM LOT SIZE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