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1897</w:t>
        <w:t xml:space="preserve">.  </w:t>
      </w:r>
      <w:r>
        <w:rPr>
          <w:b/>
        </w:rPr>
        <w:t xml:space="preserve">Fees</w:t>
      </w:r>
    </w:p>
    <w:p>
      <w:pPr>
        <w:jc w:val="both"/>
        <w:spacing w:before="100" w:after="100"/>
        <w:ind w:start="360"/>
        <w:ind w:firstLine="360"/>
      </w:pPr>
      <w:r>
        <w:rPr/>
      </w:r>
      <w:r>
        <w:rPr/>
      </w:r>
      <w:r>
        <w:t xml:space="preserve">The director may charge reasonable fees for the services provided under this subchapter. Such fees must be used to supervise and manage public facilities for boats.  The director may set aside no more than 10% of those fees per year as a reserve fund for repairs and maintenance of those facilities and for marking the waters where in the director's judgment a hazard to boating exists.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When it is essential for public safety, the director may prepare, print and distribute navigation charts and publications and may charge a reasonable fee for them.</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When it is in the State's best interest, the director may charge reasonable amounts for the actual costs of providing materials and services associated with the construction and repair of boating facilities.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§1897.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§1897.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§1897.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