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1891-E</w:t>
        <w:t xml:space="preserve">.  </w:t>
      </w:r>
      <w:r>
        <w:rPr>
          <w:b/>
        </w:rPr>
        <w:t xml:space="preserve">Corps members</w:t>
      </w:r>
    </w:p>
    <w:p>
      <w:pPr>
        <w:jc w:val="both"/>
        <w:spacing w:before="100" w:after="100"/>
        <w:ind w:start="360"/>
        <w:ind w:firstLine="360"/>
      </w:pPr>
      <w:r>
        <w:rPr/>
      </w:r>
      <w:r>
        <w:rPr/>
      </w:r>
      <w:r>
        <w:t xml:space="preserve">Members of the Corps who are paid wages or a living allowance through the General Fund account of the Corps or through its dedicated account must receive personal liability insurance and workers' compensation insurance, and those who meet the income guidelines in </w:t>
      </w:r>
      <w:r>
        <w:t>section 1891‑A</w:t>
      </w:r>
      <w:r>
        <w:t xml:space="preserve"> must be compensated at least the minimum wage or an annualized living allowance of at least 75% of the minimum wage times 2,080.  Notwithstanding other state laws, Corps members are not considered employees of the State for the purposes of </w:t>
      </w:r>
      <w:r>
        <w:t>Title 5, Part 20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240, Pt. NN,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NN,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§1891-E. Corps members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§1891-E. Corps members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§1891-E. CORPS MEMBERS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