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1884</w:t>
        <w:t xml:space="preserve">.  </w:t>
      </w:r>
      <w:r>
        <w:rPr>
          <w:b/>
        </w:rPr>
        <w:t xml:space="preserve">Enforcement, inspection and penalties for violations</w:t>
      </w:r>
    </w:p>
    <w:p>
      <w:pPr>
        <w:jc w:val="both"/>
        <w:spacing w:before="100" w:after="100"/>
        <w:ind w:start="360"/>
        <w:ind w:firstLine="360"/>
      </w:pPr>
      <w:r>
        <w:rPr/>
      </w:r>
      <w:r>
        <w:rPr/>
      </w:r>
      <w:r>
        <w:t xml:space="preserve">Permits issued by the bureau under this subchapter have the force and effect of law.  No timber harvesting operation may be undertaken except in conformance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w:pPr>
        <w:jc w:val="both"/>
        <w:spacing w:before="100" w:after="100"/>
        <w:ind w:start="360"/>
        <w:ind w:firstLine="360"/>
      </w:pPr>
      <w:r>
        <w:rPr/>
      </w:r>
      <w:r>
        <w:rPr/>
      </w:r>
      <w:r>
        <w:t xml:space="preserve">For the purposes of inspection and to ensure compliance with permits issued or adopted by the bureau, authorized bureau staff or consultant personnel may conduct investigations, examinations, tests and site evaluations that are determined to be necessary to verify information presented to the bureau and may obtain access to any lands and structures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In addition, the bureau may in the name of the State institute any appropriate action, injunction or other proceeding to prevent, restrain, correct or abate any violation of this subchapter or of the permits issued under it or rules adopted under </w:t>
      </w:r>
      <w:r>
        <w:t>section 1803</w:t>
      </w:r>
      <w:r>
        <w:t xml:space="preserve">. This action may include, but is not limited to, proceedings to revoke or suspend any bureau permit or approval taken before the District Court in accordance with </w:t>
      </w:r>
      <w:r>
        <w:t>Title 4, section 152, subsection 9</w:t>
      </w:r>
      <w:r>
        <w:t xml:space="preserve"> and </w:t>
      </w:r>
      <w:r>
        <w:t>Title 4, chapter 5</w:t>
      </w:r>
      <w:r>
        <w:t xml:space="preserve"> or, notwithstanding the provisions of </w:t>
      </w:r>
      <w:r>
        <w:t>Title 5, section 10051</w:t>
      </w:r>
      <w:r>
        <w:t xml:space="preserve">, before the Superior Court, as part of an enforcement action brought by the bureau.</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547, §B28 (AMD). PL 1999, c. 547, §B80 (AFF). PL 2001, c. 604, §16 (AMD). PL 2003, c. 452, §F6 (AMD). PL 2003, c. 452, §X2 (AFF).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§1884. Enforcement, inspection and penalties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§1884. Enforcement, inspection and penalties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§1884. ENFORCEMENT, INSPECTION AND PENALTIES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