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w:t>
        <w:t xml:space="preserve">.  </w:t>
      </w:r>
      <w:r>
        <w:rPr>
          <w:b/>
        </w:rPr>
        <w:t xml:space="preserve">Access to public reserved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to keep the public reserved lands as a public trust and that full and free public access to the public reserved lands to the extent permitted by law, together with the right to reasonable use of those lands, is the privilege of every citizen of the State.  The Legislature further declares that it recognizes that such free and reasonable public access may be restricted to ensure the optimum value of such lands as a public trust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100"/>
        <w:ind w:start="360"/>
        <w:ind w:firstLine="360"/>
      </w:pPr>
      <w:r>
        <w:rPr>
          <w:b/>
        </w:rPr>
        <w:t>3</w:t>
        <w:t xml:space="preserve">.  </w:t>
      </w:r>
      <w:r>
        <w:rPr>
          <w:b/>
        </w:rPr>
        <w:t xml:space="preserve">Unlawful entry onto public reserved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§1846. Access to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 Access to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§1846. ACCESS TO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