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§1819-A. Day use passes for certain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§1819-A. Day use passes for certain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§1819-A. DAY USE PASSES FOR CERTAIN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