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13156-A</w:t>
        <w:t xml:space="preserve">.  </w:t>
      </w:r>
      <w:r>
        <w:rPr>
          <w:b/>
        </w:rPr>
        <w:t xml:space="preserve">Findings</w:t>
      </w:r>
    </w:p>
    <w:p>
      <w:pPr>
        <w:jc w:val="both"/>
        <w:spacing w:before="100" w:after="100"/>
        <w:ind w:start="360"/>
        <w:ind w:firstLine="360"/>
      </w:pPr>
      <w:r>
        <w:rPr/>
      </w:r>
      <w:r>
        <w:rPr/>
      </w:r>
      <w:r>
        <w:t xml:space="preserve">The Legislature finds that activities associated with ATVs constitute a more intrusive use of private property open to recreational use by the public than do other recreational activities, and that abusive uses of ATVs puts access to private property for recreational use at risk.</w:t>
      </w:r>
      <w:r>
        <w:t xml:space="preserve">  </w:t>
      </w:r>
      <w:r xmlns:wp="http://schemas.openxmlformats.org/drawingml/2010/wordprocessingDrawing" xmlns:w15="http://schemas.microsoft.com/office/word/2012/wordml">
        <w:rPr>
          <w:rFonts w:ascii="Arial" w:hAnsi="Arial" w:cs="Arial"/>
          <w:sz w:val="22"/>
          <w:szCs w:val="22"/>
        </w:rPr>
        <w:t xml:space="preserve">[PL 2003, c. 695, Pt. B, §14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§B14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§13156-A.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§13156-A.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§13156-A.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