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13073</w:t>
        <w:t xml:space="preserve">.  </w:t>
      </w:r>
      <w:r>
        <w:rPr>
          <w:b/>
        </w:rPr>
        <w:t xml:space="preserve">Harbor masters on inland waters; violations</w:t>
      </w:r>
    </w:p>
    <w:p>
      <w:pPr>
        <w:jc w:val="both"/>
        <w:spacing w:before="100" w:after="100"/>
        <w:ind w:start="360"/>
        <w:ind w:firstLine="360"/>
      </w:pPr>
      <w:r>
        <w:rPr/>
      </w:r>
      <w:r>
        <w:rPr/>
      </w:r>
      <w:r>
        <w:t xml:space="preserve">A person who neglects or refuses to obey any lawful order of a harbor master authorized pursuant to </w:t>
      </w:r>
      <w:r>
        <w:t>section 13072</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§13073. Harbor masters on inland waters;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§13073. Harbor masters on inland waters;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§13073. HARBOR MASTERS ON INLAND WATERS;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